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27419" w14:textId="77777777" w:rsidR="00FB2342" w:rsidRDefault="00FB2342">
      <w:pPr>
        <w:spacing w:after="0"/>
        <w:rPr>
          <w:rFonts w:eastAsia="Times New Roman" w:cs="Arial"/>
          <w:b/>
          <w:bCs/>
          <w:color w:val="000000"/>
          <w:szCs w:val="22"/>
          <w:lang w:eastAsia="sk-SK"/>
        </w:rPr>
      </w:pPr>
    </w:p>
    <w:p w14:paraId="3AFC8C38" w14:textId="1D75B495" w:rsidR="00FB2342" w:rsidRDefault="00DF7E95">
      <w:pPr>
        <w:spacing w:after="0"/>
        <w:jc w:val="center"/>
        <w:rPr>
          <w:rFonts w:cs="Calibri"/>
          <w:b/>
          <w:bCs/>
          <w:szCs w:val="22"/>
        </w:rPr>
      </w:pPr>
      <w:r>
        <w:rPr>
          <w:rFonts w:eastAsia="Times New Roman" w:cs="Arial"/>
          <w:b/>
          <w:bCs/>
          <w:color w:val="000000"/>
          <w:szCs w:val="22"/>
          <w:lang w:eastAsia="sk-SK"/>
        </w:rPr>
        <w:t>Zápisnica z</w:t>
      </w:r>
      <w:r w:rsidR="00A6135D">
        <w:rPr>
          <w:rFonts w:eastAsia="Times New Roman" w:cs="Arial"/>
          <w:b/>
          <w:bCs/>
          <w:color w:val="000000"/>
          <w:szCs w:val="22"/>
          <w:lang w:eastAsia="sk-SK"/>
        </w:rPr>
        <w:t xml:space="preserve"> </w:t>
      </w:r>
      <w:r>
        <w:rPr>
          <w:rFonts w:eastAsia="Times New Roman" w:cs="Arial"/>
          <w:b/>
          <w:bCs/>
          <w:color w:val="000000"/>
          <w:szCs w:val="22"/>
          <w:lang w:eastAsia="sk-SK"/>
        </w:rPr>
        <w:t>p</w:t>
      </w:r>
      <w:r w:rsidR="00A6135D">
        <w:rPr>
          <w:rFonts w:cs="Calibri"/>
          <w:b/>
          <w:bCs/>
          <w:szCs w:val="22"/>
        </w:rPr>
        <w:t>rípravných trhových konzultácii</w:t>
      </w:r>
    </w:p>
    <w:p w14:paraId="059C0F79" w14:textId="77777777" w:rsidR="00FB2342" w:rsidRDefault="00A6135D">
      <w:pPr>
        <w:spacing w:after="0"/>
        <w:jc w:val="center"/>
        <w:rPr>
          <w:rFonts w:cs="Arial"/>
          <w:szCs w:val="22"/>
        </w:rPr>
      </w:pPr>
      <w:r>
        <w:rPr>
          <w:rFonts w:cs="Arial"/>
          <w:szCs w:val="22"/>
        </w:rPr>
        <w:t xml:space="preserve">k pripravovanému verejnému obstarávaniu s názvom: </w:t>
      </w:r>
    </w:p>
    <w:p w14:paraId="03B1F7BB" w14:textId="77777777" w:rsidR="00D00CD5" w:rsidRPr="00EA779E" w:rsidRDefault="00D00CD5" w:rsidP="00D00CD5">
      <w:pPr>
        <w:pStyle w:val="ListParagraph"/>
        <w:jc w:val="center"/>
        <w:rPr>
          <w:rFonts w:cs="Arial"/>
          <w:b/>
          <w:bCs/>
          <w:szCs w:val="22"/>
        </w:rPr>
      </w:pPr>
      <w:bookmarkStart w:id="0" w:name="_Hlk214967793"/>
      <w:r w:rsidRPr="00EA779E">
        <w:rPr>
          <w:b/>
          <w:bCs/>
          <w:szCs w:val="22"/>
        </w:rPr>
        <w:t>Nákup a servis multifunkčných tlačových zariadení</w:t>
      </w:r>
      <w:r w:rsidRPr="00EA779E">
        <w:rPr>
          <w:b/>
          <w:szCs w:val="22"/>
        </w:rPr>
        <w:t xml:space="preserve"> </w:t>
      </w:r>
      <w:r w:rsidRPr="00EA779E">
        <w:rPr>
          <w:rFonts w:cstheme="minorHAnsi"/>
          <w:b/>
          <w:szCs w:val="22"/>
        </w:rPr>
        <w:t xml:space="preserve"> </w:t>
      </w:r>
    </w:p>
    <w:bookmarkEnd w:id="0"/>
    <w:p w14:paraId="4F0A413D" w14:textId="09CBEF64" w:rsidR="00FB2342" w:rsidRDefault="00FB2342">
      <w:pPr>
        <w:spacing w:after="0"/>
        <w:jc w:val="center"/>
        <w:rPr>
          <w:rFonts w:cs="Times New Roman"/>
          <w:b/>
          <w:bCs/>
          <w:szCs w:val="22"/>
        </w:rPr>
      </w:pPr>
    </w:p>
    <w:p w14:paraId="5775A869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57CAA985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14D64A4E" w14:textId="2BB17D06" w:rsidR="00FB2342" w:rsidRDefault="00DF7E95" w:rsidP="00133470">
      <w:pPr>
        <w:spacing w:after="0"/>
        <w:ind w:left="4248" w:hanging="4248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Hospodársky subjekt/účastník</w:t>
      </w:r>
      <w:r w:rsidR="00A6135D">
        <w:rPr>
          <w:rFonts w:eastAsia="Times New Roman" w:cs="Times New Roman"/>
          <w:b/>
          <w:bCs/>
          <w:szCs w:val="22"/>
        </w:rPr>
        <w:tab/>
      </w:r>
      <w:proofErr w:type="spellStart"/>
      <w:r w:rsidR="00D44A0D">
        <w:rPr>
          <w:rFonts w:eastAsia="Times New Roman" w:cs="Times New Roman"/>
          <w:b/>
          <w:bCs/>
          <w:szCs w:val="22"/>
        </w:rPr>
        <w:t>xxxxxxxx</w:t>
      </w:r>
      <w:proofErr w:type="spellEnd"/>
      <w:r w:rsidR="00975C6B">
        <w:rPr>
          <w:rFonts w:eastAsia="Times New Roman" w:cs="Times New Roman"/>
          <w:b/>
          <w:bCs/>
          <w:szCs w:val="22"/>
        </w:rPr>
        <w:t xml:space="preserve"> </w:t>
      </w:r>
      <w:r w:rsidR="00D00CD5">
        <w:rPr>
          <w:rFonts w:eastAsia="Times New Roman" w:cs="Times New Roman"/>
          <w:b/>
          <w:bCs/>
          <w:szCs w:val="22"/>
        </w:rPr>
        <w:t xml:space="preserve"> </w:t>
      </w:r>
    </w:p>
    <w:p w14:paraId="7BED56E4" w14:textId="1DDD4067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 xml:space="preserve">Dátum a čas: </w:t>
      </w:r>
      <w:bookmarkStart w:id="1" w:name="_Hlk534806348"/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bookmarkEnd w:id="1"/>
      <w:r w:rsidR="00975C6B">
        <w:rPr>
          <w:rFonts w:eastAsia="Times New Roman" w:cs="Times New Roman"/>
          <w:b/>
          <w:bCs/>
          <w:szCs w:val="22"/>
        </w:rPr>
        <w:t>26</w:t>
      </w:r>
      <w:r>
        <w:rPr>
          <w:rFonts w:eastAsia="Times New Roman" w:cs="Times New Roman"/>
          <w:b/>
          <w:bCs/>
          <w:szCs w:val="22"/>
        </w:rPr>
        <w:t>.</w:t>
      </w:r>
      <w:r w:rsidR="00D00CD5">
        <w:rPr>
          <w:rFonts w:eastAsia="Times New Roman" w:cs="Times New Roman"/>
          <w:b/>
          <w:bCs/>
          <w:szCs w:val="22"/>
        </w:rPr>
        <w:t>03</w:t>
      </w:r>
      <w:r>
        <w:rPr>
          <w:rFonts w:eastAsia="Times New Roman" w:cs="Times New Roman"/>
          <w:b/>
          <w:bCs/>
          <w:szCs w:val="22"/>
        </w:rPr>
        <w:t>.202</w:t>
      </w:r>
      <w:r w:rsidR="00D00CD5">
        <w:rPr>
          <w:rFonts w:eastAsia="Times New Roman" w:cs="Times New Roman"/>
          <w:b/>
          <w:bCs/>
          <w:szCs w:val="22"/>
        </w:rPr>
        <w:t>6</w:t>
      </w:r>
      <w:r>
        <w:rPr>
          <w:rFonts w:eastAsia="Times New Roman" w:cs="Times New Roman"/>
          <w:b/>
          <w:bCs/>
          <w:szCs w:val="22"/>
        </w:rPr>
        <w:t xml:space="preserve">,  </w:t>
      </w:r>
      <w:r w:rsidR="004C483C">
        <w:rPr>
          <w:rFonts w:eastAsia="Times New Roman" w:cs="Times New Roman"/>
          <w:b/>
          <w:bCs/>
          <w:szCs w:val="22"/>
        </w:rPr>
        <w:t>1</w:t>
      </w:r>
      <w:r w:rsidR="00975C6B">
        <w:rPr>
          <w:rFonts w:eastAsia="Times New Roman" w:cs="Times New Roman"/>
          <w:b/>
          <w:bCs/>
          <w:szCs w:val="22"/>
        </w:rPr>
        <w:t>0</w:t>
      </w:r>
      <w:r>
        <w:rPr>
          <w:rFonts w:eastAsia="Times New Roman" w:cs="Times New Roman"/>
          <w:b/>
          <w:bCs/>
          <w:szCs w:val="22"/>
        </w:rPr>
        <w:t xml:space="preserve">.00 h </w:t>
      </w:r>
    </w:p>
    <w:p w14:paraId="5B2B70BF" w14:textId="0D645461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Prítomní</w:t>
      </w:r>
      <w:r w:rsidR="00A6135D">
        <w:rPr>
          <w:rFonts w:eastAsia="Times New Roman" w:cs="Times New Roman"/>
          <w:b/>
          <w:bCs/>
          <w:szCs w:val="22"/>
        </w:rPr>
        <w:t xml:space="preserve">: </w:t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 xml:space="preserve">prezenčná listina </w:t>
      </w:r>
    </w:p>
    <w:p w14:paraId="1C568DA5" w14:textId="77777777" w:rsidR="00FB2342" w:rsidRDefault="00FB2342">
      <w:pPr>
        <w:spacing w:after="0"/>
        <w:rPr>
          <w:rFonts w:eastAsia="Times New Roman" w:cs="Times New Roman"/>
          <w:b/>
          <w:bCs/>
          <w:szCs w:val="22"/>
        </w:rPr>
      </w:pPr>
      <w:bookmarkStart w:id="2" w:name="_Hlk102546874"/>
      <w:bookmarkEnd w:id="2"/>
    </w:p>
    <w:p w14:paraId="3F84AB83" w14:textId="77777777" w:rsidR="00FB2342" w:rsidRDefault="00FB2342">
      <w:pPr>
        <w:spacing w:after="0"/>
        <w:rPr>
          <w:szCs w:val="22"/>
        </w:rPr>
      </w:pPr>
    </w:p>
    <w:tbl>
      <w:tblPr>
        <w:tblStyle w:val="TableGrid"/>
        <w:tblW w:w="8794" w:type="dxa"/>
        <w:jc w:val="center"/>
        <w:tblLayout w:type="fixed"/>
        <w:tblLook w:val="04A0" w:firstRow="1" w:lastRow="0" w:firstColumn="1" w:lastColumn="0" w:noHBand="0" w:noVBand="1"/>
      </w:tblPr>
      <w:tblGrid>
        <w:gridCol w:w="3970"/>
        <w:gridCol w:w="4824"/>
      </w:tblGrid>
      <w:tr w:rsidR="00D00CD5" w14:paraId="282E6E26" w14:textId="376EAE4B" w:rsidTr="00D00CD5">
        <w:trPr>
          <w:jc w:val="center"/>
        </w:trPr>
        <w:tc>
          <w:tcPr>
            <w:tcW w:w="3970" w:type="dxa"/>
            <w:vAlign w:val="center"/>
          </w:tcPr>
          <w:p w14:paraId="2F615674" w14:textId="4521E823" w:rsidR="00D00CD5" w:rsidRDefault="00D00CD5">
            <w:pPr>
              <w:spacing w:after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Cs w:val="22"/>
              </w:rPr>
              <w:t>Otázky verejného obstarávateľa</w:t>
            </w:r>
          </w:p>
        </w:tc>
        <w:tc>
          <w:tcPr>
            <w:tcW w:w="4824" w:type="dxa"/>
          </w:tcPr>
          <w:p w14:paraId="2C214EA9" w14:textId="4275260F" w:rsidR="00D00CD5" w:rsidRDefault="00D00CD5">
            <w:pPr>
              <w:spacing w:after="0"/>
              <w:jc w:val="center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Odpovede účastníka na osobnej účasti </w:t>
            </w:r>
          </w:p>
        </w:tc>
      </w:tr>
      <w:tr w:rsidR="00D00CD5" w14:paraId="3EDABB64" w14:textId="14D373F3" w:rsidTr="00D00CD5">
        <w:trPr>
          <w:jc w:val="center"/>
        </w:trPr>
        <w:tc>
          <w:tcPr>
            <w:tcW w:w="3970" w:type="dxa"/>
            <w:vAlign w:val="center"/>
          </w:tcPr>
          <w:p w14:paraId="47D6C7F4" w14:textId="06030B20" w:rsidR="00D00CD5" w:rsidRDefault="00D00CD5">
            <w:pPr>
              <w:spacing w:after="0"/>
              <w:rPr>
                <w:color w:val="000000"/>
                <w:szCs w:val="22"/>
              </w:rPr>
            </w:pPr>
            <w:r w:rsidRPr="00D00CD5">
              <w:rPr>
                <w:color w:val="000000"/>
                <w:szCs w:val="22"/>
              </w:rPr>
              <w:t>Popíšte vaše riešenie pre monitoring a správu tlačových služieb.</w:t>
            </w:r>
            <w:r w:rsidRPr="00D00CD5">
              <w:rPr>
                <w:color w:val="000000"/>
                <w:szCs w:val="22"/>
              </w:rPr>
              <w:br/>
              <w:t>Uveďte, či ide o jedno integrované riešenie alebo kombináciu viacerých softvérových nástrojov (vrátane názvov/ značiek). V prípade možnosti priložte aj stručnú ukážku alebo popis funkcionalít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4824" w:type="dxa"/>
          </w:tcPr>
          <w:p w14:paraId="767B87DB" w14:textId="7548904A" w:rsidR="000467A9" w:rsidRDefault="000467A9" w:rsidP="000467A9">
            <w:pPr>
              <w:spacing w:after="0"/>
              <w:rPr>
                <w:rFonts w:eastAsia="Calibri"/>
                <w:szCs w:val="22"/>
              </w:rPr>
            </w:pPr>
            <w:r w:rsidRPr="000467A9">
              <w:rPr>
                <w:rFonts w:eastAsia="Calibri"/>
                <w:szCs w:val="22"/>
              </w:rPr>
              <w:t>Účastník má k dispozícii dva typy softvérových riešení tretích strán:</w:t>
            </w:r>
            <w:r>
              <w:rPr>
                <w:rFonts w:eastAsia="Calibri"/>
                <w:szCs w:val="22"/>
              </w:rPr>
              <w:t xml:space="preserve"> 1. </w:t>
            </w:r>
            <w:r w:rsidRPr="000467A9">
              <w:rPr>
                <w:rFonts w:eastAsia="Calibri"/>
                <w:szCs w:val="22"/>
              </w:rPr>
              <w:t xml:space="preserve">Monitoring účastníka – umožňuje sledovať, kto má aký typ prístupu. Na trhu je dostupné množstvo riešení od rôznych výrobcov, vrátane </w:t>
            </w:r>
            <w:proofErr w:type="spellStart"/>
            <w:r w:rsidRPr="000467A9">
              <w:rPr>
                <w:rFonts w:eastAsia="Calibri"/>
                <w:szCs w:val="22"/>
              </w:rPr>
              <w:t>multibr</w:t>
            </w:r>
            <w:r w:rsidR="002F211A">
              <w:rPr>
                <w:rFonts w:eastAsia="Calibri"/>
                <w:szCs w:val="22"/>
              </w:rPr>
              <w:t>a</w:t>
            </w:r>
            <w:r w:rsidRPr="000467A9">
              <w:rPr>
                <w:rFonts w:eastAsia="Calibri"/>
                <w:szCs w:val="22"/>
              </w:rPr>
              <w:t>ndových</w:t>
            </w:r>
            <w:proofErr w:type="spellEnd"/>
            <w:r w:rsidRPr="000467A9">
              <w:rPr>
                <w:rFonts w:eastAsia="Calibri"/>
                <w:szCs w:val="22"/>
              </w:rPr>
              <w:t xml:space="preserve"> platforiem aj riešení určených pre jednu značku. </w:t>
            </w:r>
          </w:p>
          <w:p w14:paraId="72FA9BBD" w14:textId="1DA632C6" w:rsidR="000467A9" w:rsidRPr="000467A9" w:rsidRDefault="000467A9" w:rsidP="000467A9">
            <w:pPr>
              <w:spacing w:after="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2. </w:t>
            </w:r>
            <w:r w:rsidRPr="000467A9">
              <w:rPr>
                <w:rFonts w:eastAsia="Calibri"/>
                <w:szCs w:val="22"/>
              </w:rPr>
              <w:t xml:space="preserve">Monitoring stroja – zabezpečuje dohľad nad funkčnosťou samotných strojov, napríklad stav tonerov a celkovú prevádzkovú kondíciu. V tomto prípade je možné využiť certifikované cloudové </w:t>
            </w:r>
            <w:proofErr w:type="spellStart"/>
            <w:r w:rsidRPr="000467A9">
              <w:rPr>
                <w:rFonts w:eastAsia="Calibri"/>
                <w:szCs w:val="22"/>
              </w:rPr>
              <w:t>multibr</w:t>
            </w:r>
            <w:r w:rsidR="002F211A">
              <w:rPr>
                <w:rFonts w:eastAsia="Calibri"/>
                <w:szCs w:val="22"/>
              </w:rPr>
              <w:t>a</w:t>
            </w:r>
            <w:r w:rsidRPr="000467A9">
              <w:rPr>
                <w:rFonts w:eastAsia="Calibri"/>
                <w:szCs w:val="22"/>
              </w:rPr>
              <w:t>ndové</w:t>
            </w:r>
            <w:proofErr w:type="spellEnd"/>
            <w:r w:rsidRPr="000467A9">
              <w:rPr>
                <w:rFonts w:eastAsia="Calibri"/>
                <w:szCs w:val="22"/>
              </w:rPr>
              <w:t xml:space="preserve"> riešenia. </w:t>
            </w:r>
          </w:p>
          <w:p w14:paraId="0F1400DB" w14:textId="0F9A0312" w:rsidR="000467A9" w:rsidRPr="003577B1" w:rsidRDefault="000467A9" w:rsidP="00CC62DD">
            <w:pPr>
              <w:spacing w:after="0"/>
              <w:rPr>
                <w:rFonts w:eastAsia="Calibri"/>
                <w:szCs w:val="22"/>
              </w:rPr>
            </w:pPr>
            <w:r w:rsidRPr="000467A9">
              <w:rPr>
                <w:rFonts w:eastAsia="Calibri"/>
                <w:szCs w:val="22"/>
              </w:rPr>
              <w:t xml:space="preserve">Softvér môže byť prevádzkovaný buď u zákazníka, alebo formou </w:t>
            </w:r>
            <w:proofErr w:type="spellStart"/>
            <w:r w:rsidRPr="000467A9">
              <w:rPr>
                <w:rFonts w:eastAsia="Calibri"/>
                <w:szCs w:val="22"/>
              </w:rPr>
              <w:t>cloudu</w:t>
            </w:r>
            <w:proofErr w:type="spellEnd"/>
            <w:r w:rsidRPr="000467A9">
              <w:rPr>
                <w:rFonts w:eastAsia="Calibri"/>
                <w:szCs w:val="22"/>
              </w:rPr>
              <w:t xml:space="preserve">. Pri </w:t>
            </w:r>
            <w:proofErr w:type="spellStart"/>
            <w:r w:rsidRPr="000467A9">
              <w:rPr>
                <w:rFonts w:eastAsia="Calibri"/>
                <w:szCs w:val="22"/>
              </w:rPr>
              <w:t>multibr</w:t>
            </w:r>
            <w:r w:rsidR="002F211A">
              <w:rPr>
                <w:rFonts w:eastAsia="Calibri"/>
                <w:szCs w:val="22"/>
              </w:rPr>
              <w:t>a</w:t>
            </w:r>
            <w:r w:rsidRPr="000467A9">
              <w:rPr>
                <w:rFonts w:eastAsia="Calibri"/>
                <w:szCs w:val="22"/>
              </w:rPr>
              <w:t>ndových</w:t>
            </w:r>
            <w:proofErr w:type="spellEnd"/>
            <w:r w:rsidRPr="000467A9">
              <w:rPr>
                <w:rFonts w:eastAsia="Calibri"/>
                <w:szCs w:val="22"/>
              </w:rPr>
              <w:t xml:space="preserve"> riešeniach, ktoré spravujú tisíce licencií, sa o podporu štandardne starajú rozsiahle servisné tímy. Natívne jednoúčelové riešenia v takomto prostredí sa vo všeobecnosti neodporúčajú.</w:t>
            </w:r>
          </w:p>
        </w:tc>
      </w:tr>
      <w:tr w:rsidR="00D00CD5" w14:paraId="49C37859" w14:textId="0D71814B" w:rsidTr="00D00CD5">
        <w:trPr>
          <w:jc w:val="center"/>
        </w:trPr>
        <w:tc>
          <w:tcPr>
            <w:tcW w:w="3970" w:type="dxa"/>
            <w:vAlign w:val="center"/>
          </w:tcPr>
          <w:p w14:paraId="5D913A58" w14:textId="01C72334" w:rsidR="00D00CD5" w:rsidRPr="00D00CD5" w:rsidRDefault="00D00CD5" w:rsidP="00D00CD5">
            <w:pPr>
              <w:spacing w:after="0"/>
              <w:rPr>
                <w:rFonts w:eastAsia="Cambria" w:cs="Cambria"/>
                <w:szCs w:val="22"/>
              </w:rPr>
            </w:pPr>
            <w:r w:rsidRPr="00D00CD5">
              <w:rPr>
                <w:rFonts w:eastAsia="Calibri"/>
                <w:szCs w:val="22"/>
              </w:rPr>
              <w:t>Akým spôsobom zabezpečujete dlhodobú kompatibilitu medzi softvérovým riešením a hardvérovými zariadeniami (tlačiarne, čítačky kariet), najmä pri aktualizáciách alebo upgrade systémov?</w:t>
            </w:r>
          </w:p>
        </w:tc>
        <w:tc>
          <w:tcPr>
            <w:tcW w:w="4824" w:type="dxa"/>
          </w:tcPr>
          <w:p w14:paraId="2976D27F" w14:textId="6D736B84" w:rsidR="000467A9" w:rsidRPr="000467A9" w:rsidRDefault="000467A9" w:rsidP="000467A9">
            <w:pPr>
              <w:spacing w:after="0"/>
              <w:rPr>
                <w:rFonts w:eastAsia="Calibri"/>
                <w:szCs w:val="22"/>
              </w:rPr>
            </w:pPr>
            <w:r w:rsidRPr="000467A9">
              <w:rPr>
                <w:rFonts w:eastAsia="Calibri"/>
                <w:szCs w:val="22"/>
              </w:rPr>
              <w:t xml:space="preserve">Upgrady odporúčame nasadzovať s časovým odstupom od ich vydania, keďže pri </w:t>
            </w:r>
            <w:proofErr w:type="spellStart"/>
            <w:r w:rsidRPr="000467A9">
              <w:rPr>
                <w:rFonts w:eastAsia="Calibri"/>
                <w:szCs w:val="22"/>
              </w:rPr>
              <w:t>multibr</w:t>
            </w:r>
            <w:r w:rsidR="002F211A">
              <w:rPr>
                <w:rFonts w:eastAsia="Calibri"/>
                <w:szCs w:val="22"/>
              </w:rPr>
              <w:t>a</w:t>
            </w:r>
            <w:r w:rsidRPr="000467A9">
              <w:rPr>
                <w:rFonts w:eastAsia="Calibri"/>
                <w:szCs w:val="22"/>
              </w:rPr>
              <w:t>ndových</w:t>
            </w:r>
            <w:proofErr w:type="spellEnd"/>
            <w:r w:rsidRPr="000467A9">
              <w:rPr>
                <w:rFonts w:eastAsia="Calibri"/>
                <w:szCs w:val="22"/>
              </w:rPr>
              <w:t xml:space="preserve"> riešeniach ich výrobca nemá vždy možnosť komplexne otestovať, čo môže viesť k prípadným problémom.</w:t>
            </w:r>
          </w:p>
          <w:p w14:paraId="4E761C9D" w14:textId="77777777" w:rsidR="000467A9" w:rsidRPr="000467A9" w:rsidRDefault="000467A9" w:rsidP="000467A9">
            <w:pPr>
              <w:spacing w:after="0"/>
              <w:rPr>
                <w:rFonts w:eastAsia="Calibri"/>
                <w:szCs w:val="22"/>
              </w:rPr>
            </w:pPr>
            <w:r w:rsidRPr="000467A9">
              <w:rPr>
                <w:rFonts w:eastAsia="Calibri"/>
                <w:szCs w:val="22"/>
              </w:rPr>
              <w:t>Pokiaľ nie je upgrade nevyhnutný z konkrétneho dôvodu (napr. nová funkcionalita), nie je potrebné ho realizovať častejšie ako raz za dva roky.</w:t>
            </w:r>
          </w:p>
          <w:p w14:paraId="2434A202" w14:textId="77777777" w:rsidR="000467A9" w:rsidRPr="000467A9" w:rsidRDefault="000467A9" w:rsidP="000467A9">
            <w:pPr>
              <w:spacing w:after="0"/>
              <w:rPr>
                <w:rFonts w:eastAsia="Calibri"/>
                <w:szCs w:val="22"/>
              </w:rPr>
            </w:pPr>
            <w:r w:rsidRPr="000467A9">
              <w:rPr>
                <w:rFonts w:eastAsia="Calibri"/>
                <w:szCs w:val="22"/>
              </w:rPr>
              <w:t>So softvérovým dodávateľom je možné uzatvoriť štyri úrovne SLA, pričom pri najvyššej úrovni je zabezpečený okamžitý prístup k serveru a veľmi rýchle riešenie incidentov.</w:t>
            </w:r>
          </w:p>
          <w:p w14:paraId="5679C268" w14:textId="755F069F" w:rsidR="000467A9" w:rsidRPr="000467A9" w:rsidRDefault="000467A9">
            <w:pPr>
              <w:spacing w:after="0"/>
              <w:rPr>
                <w:rFonts w:eastAsia="Calibri"/>
                <w:szCs w:val="22"/>
              </w:rPr>
            </w:pPr>
            <w:r w:rsidRPr="000467A9">
              <w:rPr>
                <w:rFonts w:eastAsia="Calibri"/>
                <w:szCs w:val="22"/>
              </w:rPr>
              <w:t xml:space="preserve">Zároveň odporúčame využívať riešenia tretích strán, ktoré sú optimalizované pre konkrétne </w:t>
            </w:r>
            <w:r w:rsidRPr="000467A9">
              <w:rPr>
                <w:rFonts w:eastAsia="Calibri"/>
                <w:szCs w:val="22"/>
              </w:rPr>
              <w:lastRenderedPageBreak/>
              <w:t xml:space="preserve">značky zariadení – napríklad </w:t>
            </w:r>
            <w:proofErr w:type="spellStart"/>
            <w:r w:rsidRPr="000467A9">
              <w:rPr>
                <w:rFonts w:eastAsia="Calibri"/>
                <w:szCs w:val="22"/>
              </w:rPr>
              <w:t>MyQ</w:t>
            </w:r>
            <w:proofErr w:type="spellEnd"/>
            <w:r w:rsidRPr="000467A9">
              <w:rPr>
                <w:rFonts w:eastAsia="Calibri"/>
                <w:szCs w:val="22"/>
              </w:rPr>
              <w:t xml:space="preserve"> pre Kyocera alebo </w:t>
            </w:r>
            <w:proofErr w:type="spellStart"/>
            <w:r w:rsidRPr="000467A9">
              <w:rPr>
                <w:rFonts w:eastAsia="Calibri"/>
                <w:szCs w:val="22"/>
              </w:rPr>
              <w:t>SafeQ</w:t>
            </w:r>
            <w:proofErr w:type="spellEnd"/>
            <w:r w:rsidRPr="000467A9">
              <w:rPr>
                <w:rFonts w:eastAsia="Calibri"/>
                <w:szCs w:val="22"/>
              </w:rPr>
              <w:t xml:space="preserve"> pre Minolta. V takýchto prípadoch je zabezpečená vysoká miera kompatibility a stability riešenia.</w:t>
            </w:r>
          </w:p>
        </w:tc>
      </w:tr>
      <w:tr w:rsidR="00D00CD5" w14:paraId="6B6D1B51" w14:textId="1823F769" w:rsidTr="00D00CD5">
        <w:trPr>
          <w:jc w:val="center"/>
        </w:trPr>
        <w:tc>
          <w:tcPr>
            <w:tcW w:w="3970" w:type="dxa"/>
            <w:vAlign w:val="center"/>
          </w:tcPr>
          <w:p w14:paraId="1E47B6B6" w14:textId="56977140" w:rsidR="00D00CD5" w:rsidRPr="004F4E2C" w:rsidRDefault="00D00CD5">
            <w:pPr>
              <w:spacing w:after="0"/>
              <w:rPr>
                <w:color w:val="000000" w:themeColor="text1"/>
                <w:szCs w:val="22"/>
              </w:rPr>
            </w:pPr>
            <w:r w:rsidRPr="00D00CD5">
              <w:rPr>
                <w:rFonts w:eastAsia="Calibri"/>
                <w:color w:val="000000" w:themeColor="text1"/>
                <w:szCs w:val="22"/>
              </w:rPr>
              <w:lastRenderedPageBreak/>
              <w:t xml:space="preserve">Sú čítačky kariet dodávané ako natívna súčasť tlačových zariadení, alebo ide o riešenie od tretej strany (iného výrobcu ako tlačiareň)? </w:t>
            </w:r>
          </w:p>
        </w:tc>
        <w:tc>
          <w:tcPr>
            <w:tcW w:w="4824" w:type="dxa"/>
          </w:tcPr>
          <w:p w14:paraId="44B4A9E0" w14:textId="77777777" w:rsidR="008D7274" w:rsidRPr="008D7274" w:rsidRDefault="008D7274" w:rsidP="008D7274">
            <w:pPr>
              <w:spacing w:after="0"/>
              <w:rPr>
                <w:rFonts w:eastAsia="Calibri"/>
                <w:szCs w:val="22"/>
              </w:rPr>
            </w:pPr>
            <w:r w:rsidRPr="008D7274">
              <w:rPr>
                <w:rFonts w:eastAsia="Calibri"/>
                <w:szCs w:val="22"/>
              </w:rPr>
              <w:t>Čítačky výrobcovia zariadení spravidla nevyrábajú. Na trhu existuje približne 70 rôznych typov kariet a čítačka sa vždy vyberá podľa konkrétneho typu použitej karty.</w:t>
            </w:r>
          </w:p>
          <w:p w14:paraId="61E5BD08" w14:textId="77777777" w:rsidR="008D7274" w:rsidRPr="008D7274" w:rsidRDefault="008D7274" w:rsidP="008D7274">
            <w:pPr>
              <w:spacing w:after="0"/>
              <w:rPr>
                <w:rFonts w:eastAsia="Calibri"/>
                <w:szCs w:val="22"/>
              </w:rPr>
            </w:pPr>
            <w:r w:rsidRPr="008D7274">
              <w:rPr>
                <w:rFonts w:eastAsia="Calibri"/>
                <w:szCs w:val="22"/>
              </w:rPr>
              <w:t>Jedna čítačka môže podporovať aj viacero formátov – niektoré až do 12 rôznych typov kariet. Platí však, že čím sofistikovanejšia je karta, tým vyššie sú náklady na čítačku.</w:t>
            </w:r>
          </w:p>
          <w:p w14:paraId="36D732A3" w14:textId="1A702CF8" w:rsidR="00710BEC" w:rsidRPr="00975C6B" w:rsidRDefault="008D7274">
            <w:pPr>
              <w:spacing w:after="0"/>
              <w:rPr>
                <w:rFonts w:eastAsia="Calibri"/>
                <w:color w:val="FF0000"/>
                <w:szCs w:val="22"/>
              </w:rPr>
            </w:pPr>
            <w:r w:rsidRPr="008D7274">
              <w:rPr>
                <w:rFonts w:eastAsia="Calibri"/>
                <w:szCs w:val="22"/>
              </w:rPr>
              <w:t>Pri OPZ je preto potrebné presne špecifikovať typ karty, aby bolo možné zvoliť vhodné kompatibilné riešenie.</w:t>
            </w:r>
          </w:p>
        </w:tc>
      </w:tr>
      <w:tr w:rsidR="00D00CD5" w14:paraId="65521567" w14:textId="78BE7998" w:rsidTr="00D00CD5">
        <w:trPr>
          <w:jc w:val="center"/>
        </w:trPr>
        <w:tc>
          <w:tcPr>
            <w:tcW w:w="3970" w:type="dxa"/>
            <w:vAlign w:val="center"/>
          </w:tcPr>
          <w:p w14:paraId="0509342D" w14:textId="77777777" w:rsidR="00D00CD5" w:rsidRPr="00D00CD5" w:rsidRDefault="00D00CD5" w:rsidP="00D00CD5">
            <w:pPr>
              <w:spacing w:after="0"/>
              <w:rPr>
                <w:rFonts w:eastAsia="Calibri"/>
                <w:szCs w:val="22"/>
              </w:rPr>
            </w:pPr>
            <w:r w:rsidRPr="00D00CD5">
              <w:rPr>
                <w:rFonts w:eastAsia="Calibri"/>
                <w:szCs w:val="22"/>
              </w:rPr>
              <w:t>Je pre vás akceptovateľná zmluva o správe zariadení na obdobie 72 mesiacov?</w:t>
            </w:r>
          </w:p>
          <w:p w14:paraId="0B067ED7" w14:textId="536C6BB7" w:rsidR="00D00CD5" w:rsidRPr="00057149" w:rsidRDefault="00D00CD5">
            <w:pPr>
              <w:spacing w:after="0"/>
              <w:rPr>
                <w:szCs w:val="22"/>
              </w:rPr>
            </w:pPr>
          </w:p>
        </w:tc>
        <w:tc>
          <w:tcPr>
            <w:tcW w:w="4824" w:type="dxa"/>
          </w:tcPr>
          <w:p w14:paraId="5ED6DA95" w14:textId="77777777" w:rsidR="008D7274" w:rsidRPr="008D7274" w:rsidRDefault="008D7274" w:rsidP="008D7274">
            <w:pPr>
              <w:spacing w:after="0"/>
              <w:rPr>
                <w:rFonts w:eastAsia="Calibri"/>
                <w:szCs w:val="22"/>
              </w:rPr>
            </w:pPr>
            <w:r w:rsidRPr="008D7274">
              <w:rPr>
                <w:rFonts w:eastAsia="Calibri"/>
                <w:szCs w:val="22"/>
              </w:rPr>
              <w:t>6-ročný servis s 2-ročnou opciou je pokrytý tým, že výrobca garantuje dostupnosť náhradných dielov po dobu 10 rokov od začiatku výroby. Bežná životnosť zariadení sa pohybuje približne na úrovni 7 rokov, avšak závisí od ich zaťaženia a spôsobu používania.</w:t>
            </w:r>
          </w:p>
          <w:p w14:paraId="3E4BA904" w14:textId="7FF4BA07" w:rsidR="003577B1" w:rsidRPr="008D7274" w:rsidRDefault="008D7274" w:rsidP="00A43C7E">
            <w:pPr>
              <w:spacing w:after="0"/>
              <w:rPr>
                <w:rFonts w:eastAsia="Calibri"/>
                <w:szCs w:val="22"/>
              </w:rPr>
            </w:pPr>
            <w:r w:rsidRPr="008D7274">
              <w:rPr>
                <w:rFonts w:eastAsia="Calibri"/>
                <w:szCs w:val="22"/>
              </w:rPr>
              <w:t>V praxi sa zariadenia niekedy obmieňajú už po 2 rokoch, najmä z dôvodu vyššej efektivity alebo optimalizácie prevádzky.</w:t>
            </w:r>
          </w:p>
        </w:tc>
      </w:tr>
    </w:tbl>
    <w:p w14:paraId="795ABBC5" w14:textId="77777777" w:rsidR="00FB2342" w:rsidRDefault="00FB2342">
      <w:pPr>
        <w:spacing w:after="0"/>
        <w:jc w:val="center"/>
        <w:rPr>
          <w:szCs w:val="22"/>
        </w:rPr>
      </w:pPr>
    </w:p>
    <w:p w14:paraId="795768E0" w14:textId="77777777" w:rsidR="003155EE" w:rsidRDefault="003155EE" w:rsidP="0068687B">
      <w:pPr>
        <w:spacing w:after="0"/>
        <w:rPr>
          <w:color w:val="FF0000"/>
          <w:szCs w:val="22"/>
          <w:highlight w:val="yellow"/>
        </w:rPr>
      </w:pPr>
    </w:p>
    <w:p w14:paraId="72B9B659" w14:textId="29DC9911" w:rsidR="00FB2342" w:rsidRDefault="00CC62DD">
      <w:pPr>
        <w:spacing w:after="0"/>
        <w:rPr>
          <w:szCs w:val="22"/>
        </w:rPr>
      </w:pPr>
      <w:r>
        <w:rPr>
          <w:szCs w:val="22"/>
        </w:rPr>
        <w:t xml:space="preserve">Účastník odporučil: </w:t>
      </w:r>
    </w:p>
    <w:p w14:paraId="0BFB96BF" w14:textId="362A7870" w:rsidR="008862E0" w:rsidRDefault="008D7274">
      <w:pPr>
        <w:spacing w:after="0"/>
        <w:rPr>
          <w:szCs w:val="22"/>
        </w:rPr>
      </w:pPr>
      <w:r w:rsidRPr="008D7274">
        <w:rPr>
          <w:szCs w:val="22"/>
        </w:rPr>
        <w:t>Koľko zamestnancov majú predajcovia na Slovensku</w:t>
      </w:r>
      <w:r w:rsidR="008862E0">
        <w:rPr>
          <w:szCs w:val="22"/>
        </w:rPr>
        <w:t xml:space="preserve">  </w:t>
      </w:r>
    </w:p>
    <w:p w14:paraId="68140FBE" w14:textId="77777777" w:rsidR="00710BEC" w:rsidRDefault="00710BEC">
      <w:pPr>
        <w:spacing w:after="0"/>
        <w:rPr>
          <w:szCs w:val="22"/>
        </w:rPr>
      </w:pPr>
    </w:p>
    <w:p w14:paraId="7AA38C65" w14:textId="77777777" w:rsidR="004F4E2C" w:rsidRDefault="004F4E2C">
      <w:pPr>
        <w:spacing w:after="0"/>
        <w:rPr>
          <w:szCs w:val="22"/>
        </w:rPr>
      </w:pPr>
    </w:p>
    <w:p w14:paraId="5CFE9635" w14:textId="77777777" w:rsidR="00DE66FF" w:rsidRDefault="00DE66FF">
      <w:pPr>
        <w:spacing w:after="0"/>
        <w:rPr>
          <w:szCs w:val="22"/>
        </w:rPr>
      </w:pPr>
    </w:p>
    <w:sectPr w:rsidR="00DE66F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66352" w14:textId="77777777" w:rsidR="008029C4" w:rsidRDefault="008029C4">
      <w:pPr>
        <w:spacing w:after="0" w:line="240" w:lineRule="auto"/>
      </w:pPr>
      <w:r>
        <w:separator/>
      </w:r>
    </w:p>
  </w:endnote>
  <w:endnote w:type="continuationSeparator" w:id="0">
    <w:p w14:paraId="44F106D2" w14:textId="77777777" w:rsidR="008029C4" w:rsidRDefault="00802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Minion Pro">
    <w:altName w:val="Cambria"/>
    <w:charset w:val="01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4571410"/>
      <w:docPartObj>
        <w:docPartGallery w:val="Page Numbers (Bottom of Page)"/>
        <w:docPartUnique/>
      </w:docPartObj>
    </w:sdtPr>
    <w:sdtEndPr/>
    <w:sdtContent>
      <w:p w14:paraId="3D672578" w14:textId="3683A76F" w:rsidR="00FB2342" w:rsidRDefault="00A6135D">
        <w:pPr>
          <w:pStyle w:val="Footer"/>
          <w:jc w:val="both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 PAGE </w:instrText>
        </w:r>
        <w:r>
          <w:rPr>
            <w:sz w:val="20"/>
          </w:rPr>
          <w:fldChar w:fldCharType="separate"/>
        </w:r>
        <w:r>
          <w:rPr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E3475" w14:textId="77777777" w:rsidR="008029C4" w:rsidRDefault="008029C4">
      <w:pPr>
        <w:spacing w:after="0" w:line="240" w:lineRule="auto"/>
      </w:pPr>
      <w:r>
        <w:separator/>
      </w:r>
    </w:p>
  </w:footnote>
  <w:footnote w:type="continuationSeparator" w:id="0">
    <w:p w14:paraId="467AE7C5" w14:textId="77777777" w:rsidR="008029C4" w:rsidRDefault="00802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C7A2A" w14:textId="16A68B97" w:rsidR="00FB2342" w:rsidRDefault="00FB2342">
    <w:pPr>
      <w:pStyle w:val="Header"/>
      <w:jc w:val="center"/>
    </w:pPr>
  </w:p>
  <w:p w14:paraId="6987536E" w14:textId="77777777" w:rsidR="00FB2342" w:rsidRDefault="00FB234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C3F6E"/>
    <w:multiLevelType w:val="multilevel"/>
    <w:tmpl w:val="5A5857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820C60"/>
    <w:multiLevelType w:val="multilevel"/>
    <w:tmpl w:val="BEB22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CB3596"/>
    <w:multiLevelType w:val="multilevel"/>
    <w:tmpl w:val="1930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53DB2D8D"/>
    <w:multiLevelType w:val="hybridMultilevel"/>
    <w:tmpl w:val="F1529122"/>
    <w:lvl w:ilvl="0" w:tplc="614E4824">
      <w:numFmt w:val="bullet"/>
      <w:lvlText w:val="-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A0F3D"/>
    <w:multiLevelType w:val="hybridMultilevel"/>
    <w:tmpl w:val="7A103D4C"/>
    <w:lvl w:ilvl="0" w:tplc="61904DF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C5796"/>
    <w:multiLevelType w:val="hybridMultilevel"/>
    <w:tmpl w:val="AC5249E6"/>
    <w:lvl w:ilvl="0" w:tplc="D304C5A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764089">
    <w:abstractNumId w:val="2"/>
  </w:num>
  <w:num w:numId="2" w16cid:durableId="454104919">
    <w:abstractNumId w:val="0"/>
  </w:num>
  <w:num w:numId="3" w16cid:durableId="419956867">
    <w:abstractNumId w:val="3"/>
  </w:num>
  <w:num w:numId="4" w16cid:durableId="2032611652">
    <w:abstractNumId w:val="4"/>
  </w:num>
  <w:num w:numId="5" w16cid:durableId="1121461579">
    <w:abstractNumId w:val="5"/>
  </w:num>
  <w:num w:numId="6" w16cid:durableId="1125271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42"/>
    <w:rsid w:val="00012B6C"/>
    <w:rsid w:val="000467A9"/>
    <w:rsid w:val="00057149"/>
    <w:rsid w:val="00082665"/>
    <w:rsid w:val="000C38CC"/>
    <w:rsid w:val="00103DD5"/>
    <w:rsid w:val="00133470"/>
    <w:rsid w:val="00170016"/>
    <w:rsid w:val="001A31C0"/>
    <w:rsid w:val="001A34FE"/>
    <w:rsid w:val="00256D30"/>
    <w:rsid w:val="002764F6"/>
    <w:rsid w:val="002F211A"/>
    <w:rsid w:val="002F3E51"/>
    <w:rsid w:val="003155EE"/>
    <w:rsid w:val="003577B1"/>
    <w:rsid w:val="00357E0A"/>
    <w:rsid w:val="004101CA"/>
    <w:rsid w:val="00454B11"/>
    <w:rsid w:val="004658BC"/>
    <w:rsid w:val="004930AB"/>
    <w:rsid w:val="004B2D97"/>
    <w:rsid w:val="004B53FF"/>
    <w:rsid w:val="004C483C"/>
    <w:rsid w:val="004D6B48"/>
    <w:rsid w:val="004F0DF9"/>
    <w:rsid w:val="004F3A23"/>
    <w:rsid w:val="004F4E2C"/>
    <w:rsid w:val="00502450"/>
    <w:rsid w:val="005245EF"/>
    <w:rsid w:val="005407FB"/>
    <w:rsid w:val="0059764B"/>
    <w:rsid w:val="005A7F64"/>
    <w:rsid w:val="005E3840"/>
    <w:rsid w:val="006302AA"/>
    <w:rsid w:val="006467F6"/>
    <w:rsid w:val="00680BAE"/>
    <w:rsid w:val="0068687B"/>
    <w:rsid w:val="006B5995"/>
    <w:rsid w:val="00700127"/>
    <w:rsid w:val="00710BEC"/>
    <w:rsid w:val="007250DA"/>
    <w:rsid w:val="007C09DC"/>
    <w:rsid w:val="008029C4"/>
    <w:rsid w:val="008458CA"/>
    <w:rsid w:val="008855E2"/>
    <w:rsid w:val="008862E0"/>
    <w:rsid w:val="008C3310"/>
    <w:rsid w:val="008D2283"/>
    <w:rsid w:val="008D2565"/>
    <w:rsid w:val="008D2D39"/>
    <w:rsid w:val="008D7274"/>
    <w:rsid w:val="00915E72"/>
    <w:rsid w:val="00921B82"/>
    <w:rsid w:val="0093195D"/>
    <w:rsid w:val="00942543"/>
    <w:rsid w:val="00975C6B"/>
    <w:rsid w:val="009B7848"/>
    <w:rsid w:val="009C102F"/>
    <w:rsid w:val="00A12BD9"/>
    <w:rsid w:val="00A43C7E"/>
    <w:rsid w:val="00A6135D"/>
    <w:rsid w:val="00A64B08"/>
    <w:rsid w:val="00AA6077"/>
    <w:rsid w:val="00AB597E"/>
    <w:rsid w:val="00B05C62"/>
    <w:rsid w:val="00B23A4A"/>
    <w:rsid w:val="00B732D5"/>
    <w:rsid w:val="00B93B0B"/>
    <w:rsid w:val="00BB19E8"/>
    <w:rsid w:val="00C4674C"/>
    <w:rsid w:val="00C726C2"/>
    <w:rsid w:val="00CC62DD"/>
    <w:rsid w:val="00CD2B4A"/>
    <w:rsid w:val="00D00CD5"/>
    <w:rsid w:val="00D44A0D"/>
    <w:rsid w:val="00D56956"/>
    <w:rsid w:val="00DE66FF"/>
    <w:rsid w:val="00DF7E95"/>
    <w:rsid w:val="00E566D5"/>
    <w:rsid w:val="00E7057E"/>
    <w:rsid w:val="00EB41DE"/>
    <w:rsid w:val="00EC23D1"/>
    <w:rsid w:val="00EF5E81"/>
    <w:rsid w:val="00F267C4"/>
    <w:rsid w:val="00F45C9B"/>
    <w:rsid w:val="00FA14A6"/>
    <w:rsid w:val="00FB1775"/>
    <w:rsid w:val="00FB2342"/>
    <w:rsid w:val="00FE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8D38"/>
  <w15:docId w15:val="{D854494D-77FB-4290-B921-791D33DD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1"/>
    <w:pPr>
      <w:spacing w:after="12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9480D"/>
  </w:style>
  <w:style w:type="character" w:customStyle="1" w:styleId="FooterChar">
    <w:name w:val="Footer Char"/>
    <w:basedOn w:val="DefaultParagraphFont"/>
    <w:link w:val="Footer"/>
    <w:uiPriority w:val="99"/>
    <w:qFormat/>
    <w:rsid w:val="0009480D"/>
  </w:style>
  <w:style w:type="character" w:customStyle="1" w:styleId="PatickaChar">
    <w:name w:val="Paticka Char"/>
    <w:basedOn w:val="FooterChar"/>
    <w:link w:val="Paticka"/>
    <w:qFormat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qFormat/>
    <w:rsid w:val="0009480D"/>
    <w:rPr>
      <w:rFonts w:ascii="Verdana" w:hAnsi="Verdana"/>
      <w:sz w:val="1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7449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74496"/>
    <w:rPr>
      <w:rFonts w:ascii="Calibri" w:eastAsia="Calibri" w:hAnsi="Calibri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05042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D483C"/>
  </w:style>
  <w:style w:type="character" w:customStyle="1" w:styleId="Znakyprepoznmkupodiarou">
    <w:name w:val="Znaky pre poznámku pod čiarou"/>
    <w:basedOn w:val="DefaultParagraphFont"/>
    <w:uiPriority w:val="99"/>
    <w:semiHidden/>
    <w:unhideWhenUsed/>
    <w:qFormat/>
    <w:rsid w:val="00ED483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99"/>
    <w:qFormat/>
    <w:locked/>
    <w:rsid w:val="00D4587E"/>
    <w:rPr>
      <w:sz w:val="22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al"/>
    <w:next w:val="BodyText"/>
    <w:qFormat/>
    <w:pPr>
      <w:keepNext/>
      <w:spacing w:before="240"/>
    </w:pPr>
    <w:rPr>
      <w:rFonts w:ascii="Liberation Sans;Arial" w:eastAsia="Roboto" w:hAnsi="Liberation Sans;Arial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ascii="Times New Roman" w:hAnsi="Times New Roman" w:cs="Droid Sans Devanagari"/>
    </w:rPr>
  </w:style>
  <w:style w:type="paragraph" w:styleId="Caption">
    <w:name w:val="caption"/>
    <w:basedOn w:val="Normal"/>
    <w:qFormat/>
    <w:pPr>
      <w:suppressLineNumbers/>
      <w:spacing w:before="120"/>
    </w:pPr>
    <w:rPr>
      <w:rFonts w:ascii="Times New Roman" w:hAnsi="Times New Roman" w:cs="Droid Sans Devanagari"/>
      <w:i/>
      <w:iCs/>
      <w:sz w:val="24"/>
      <w:szCs w:val="24"/>
    </w:rPr>
  </w:style>
  <w:style w:type="paragraph" w:customStyle="1" w:styleId="Register">
    <w:name w:val="Register"/>
    <w:basedOn w:val="Normal"/>
    <w:qFormat/>
    <w:pPr>
      <w:suppressLineNumbers/>
    </w:pPr>
    <w:rPr>
      <w:rFonts w:ascii="Times New Roman" w:hAnsi="Times New Roman" w:cs="Droid Sans Devanagari"/>
    </w:rPr>
  </w:style>
  <w:style w:type="paragraph" w:styleId="NoSpacing">
    <w:name w:val="No Spacing"/>
    <w:uiPriority w:val="1"/>
    <w:qFormat/>
    <w:rsid w:val="005316F2"/>
  </w:style>
  <w:style w:type="paragraph" w:customStyle="1" w:styleId="Hlavikaapta">
    <w:name w:val="Hlavička a pät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pPr>
      <w:spacing w:after="120" w:line="276" w:lineRule="auto"/>
    </w:pPr>
    <w:rPr>
      <w:rFonts w:ascii="Verdana" w:hAnsi="Verdana"/>
      <w:sz w:val="14"/>
    </w:rPr>
  </w:style>
  <w:style w:type="paragraph" w:styleId="ListParagraph">
    <w:name w:val="List Paragraph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qFormat/>
    <w:rsid w:val="00D74496"/>
    <w:pPr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sion">
    <w:name w:val="Revision"/>
    <w:uiPriority w:val="99"/>
    <w:semiHidden/>
    <w:qFormat/>
    <w:rsid w:val="00140A62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paragraph" w:customStyle="1" w:styleId="Default">
    <w:name w:val="Default"/>
    <w:qFormat/>
    <w:rsid w:val="00C066C8"/>
    <w:rPr>
      <w:rFonts w:ascii="Calibri" w:eastAsia="Times New Roman" w:hAnsi="Calibri" w:cs="Calibri"/>
      <w:color w:val="000000"/>
      <w:sz w:val="24"/>
      <w:szCs w:val="24"/>
      <w:lang w:eastAsia="sk-SK"/>
    </w:rPr>
  </w:style>
  <w:style w:type="table" w:styleId="TableGrid">
    <w:name w:val="Table Grid"/>
    <w:basedOn w:val="TableNormal"/>
    <w:uiPriority w:val="39"/>
    <w:rsid w:val="00EB0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BS_Stud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dc:description/>
  <cp:lastModifiedBy>Zubeková Anna</cp:lastModifiedBy>
  <cp:revision>5</cp:revision>
  <cp:lastPrinted>2025-12-15T08:52:00Z</cp:lastPrinted>
  <dcterms:created xsi:type="dcterms:W3CDTF">2026-03-30T07:18:00Z</dcterms:created>
  <dcterms:modified xsi:type="dcterms:W3CDTF">2026-05-05T06:40:00Z</dcterms:modified>
  <dc:language>sk-SK</dc:language>
</cp:coreProperties>
</file>